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7C5" w:rsidRPr="00657128" w:rsidRDefault="00B177C5" w:rsidP="00657128">
      <w:pPr>
        <w:pStyle w:val="Heading1"/>
        <w:keepLines w:val="0"/>
        <w:pageBreakBefore/>
        <w:spacing w:before="120" w:after="120"/>
        <w:ind w:firstLine="720"/>
        <w:rPr>
          <w:rFonts w:ascii="Times New Roman" w:hAnsi="Times New Roman" w:cs="Times New Roman"/>
          <w:color w:val="auto"/>
        </w:rPr>
      </w:pPr>
      <w:bookmarkStart w:id="0" w:name="_Toc85438730"/>
      <w:bookmarkStart w:id="1" w:name="_Toc112431488"/>
      <w:bookmarkStart w:id="2" w:name="_GoBack"/>
      <w:r w:rsidRPr="00657128">
        <w:rPr>
          <w:rStyle w:val="Heading1Char"/>
          <w:rFonts w:ascii="Times New Roman" w:hAnsi="Times New Roman" w:cs="Times New Roman"/>
          <w:b/>
          <w:color w:val="auto"/>
          <w:sz w:val="24"/>
          <w:szCs w:val="24"/>
        </w:rPr>
        <w:t>BẢO HIỂM BẢO VIỆT</w:t>
      </w:r>
      <w:r w:rsidR="0030348F">
        <w:rPr>
          <w:rStyle w:val="Heading1Char"/>
          <w:rFonts w:ascii="Times New Roman" w:hAnsi="Times New Roman" w:cs="Times New Roman"/>
          <w:b/>
          <w:color w:val="auto"/>
          <w:sz w:val="24"/>
          <w:szCs w:val="24"/>
        </w:rPr>
        <w:t xml:space="preserve"> (BaoViet Insurance)</w:t>
      </w:r>
      <w:r w:rsidRPr="00657128">
        <w:rPr>
          <w:rStyle w:val="Heading1Char"/>
          <w:rFonts w:ascii="Times New Roman" w:hAnsi="Times New Roman" w:cs="Times New Roman"/>
          <w:color w:val="auto"/>
        </w:rPr>
        <w:t>,</w:t>
      </w:r>
      <w:r w:rsidRPr="00657128">
        <w:rPr>
          <w:rFonts w:ascii="Times New Roman" w:hAnsi="Times New Roman" w:cs="Times New Roman"/>
          <w:color w:val="auto"/>
        </w:rPr>
        <w:t xml:space="preserve"> thương hiệu gắn với sự ra đời, phát triển của Công ty bảo hiểm Việt Nam (1964), Tổng Công ty bảo hiểm Việt Nam (1989) và Tập đoàn Tài chính - Bảo hiểm Bảo Việt (2005).</w:t>
      </w:r>
      <w:bookmarkEnd w:id="0"/>
      <w:bookmarkEnd w:id="1"/>
      <w:r w:rsidRPr="00657128">
        <w:rPr>
          <w:rFonts w:ascii="Times New Roman" w:hAnsi="Times New Roman" w:cs="Times New Roman"/>
          <w:color w:val="auto"/>
        </w:rPr>
        <w:t xml:space="preserve">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Tập đoàn Tài chính - Bảo hiểm Bảo Việt (gọi tắt là Tập đoàn Bảo Việt) cung cấp các dịch vụ tài chính toàn diện bao gồm bảo hiểm nhân thọ, bảo hiểm phi nhân thọ, chứng khoán, quản lý quỹ và đầu tư với hơn 200 chi nhánh và công ty thành viên trên khắp 63 tỉnh thành cả nước. Tập đoàn Bảo Việt đang phục vụ khoảng 20 triệu khách hàng, tương đương gần 20% dân số của Việt Nam. Cơ cấu cổ đông gồm (i) Bộ Tài chính: 65%; (ii) Công ty bảo hiểm nhân thọ Sumitomo của Nhật Bản (Sumitomo Life): 22,09%; (iii) Tổng Công ty Đầu tư và Kinh doanh vốn Nhà nước (SCIC): 2,98% và cổ đông khác: 9,93%.</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Tập đoàn Tài chính - Bảo hiểm Bảo Việt có công ty mẹ - “Tập đoàn Bảo Việt” và các đơn vị thành viên: (i) Bảo hiểm Bảo Việt (Tổng Công ty Bảo hiểm Bảo Việt do Tập đoàn Bảo Việt đầu tư 100% vốn điều lệ); (ii) Bảo Việt Nhân thọ (Tổng Công ty Bảo Việt Nhân thọ do Tập đoàn Bảo Việt đầu tư 100% vốn điều lệ); (iii) Quản lý Quỹ Bảo Việt (Công ty </w:t>
      </w:r>
      <w:r w:rsidR="0030348F">
        <w:rPr>
          <w:rFonts w:eastAsia="Calibri"/>
          <w:sz w:val="28"/>
          <w:szCs w:val="28"/>
        </w:rPr>
        <w:t>trách nhiệm hữu hạn</w:t>
      </w:r>
      <w:r w:rsidRPr="00657128">
        <w:rPr>
          <w:rFonts w:eastAsia="Calibri"/>
          <w:sz w:val="28"/>
          <w:szCs w:val="28"/>
        </w:rPr>
        <w:t xml:space="preserve"> Quản lý Quỹ Bảo Việt do Tập đoàn Bảo Việt đầu tư 100% vốn điều lệ); (iv) Đầu tư Bảo Việt (Công ty </w:t>
      </w:r>
      <w:r w:rsidR="0030348F">
        <w:rPr>
          <w:rFonts w:eastAsia="Calibri"/>
          <w:sz w:val="28"/>
          <w:szCs w:val="28"/>
        </w:rPr>
        <w:t>trách nhiệm hữu hạn một thành viên</w:t>
      </w:r>
      <w:r w:rsidRPr="00657128">
        <w:rPr>
          <w:rFonts w:eastAsia="Calibri"/>
          <w:sz w:val="28"/>
          <w:szCs w:val="28"/>
        </w:rPr>
        <w:t xml:space="preserve"> Đầu tư Bảo Việt do Tập đoàn Bảo Việt đầu tư 100% vốn điều lệ); (v) Chứng khoán Bảo Việt (Công ty Cổ phần Chứng khoán Bảo Việt do Tập đoàn Bảo Việt đầu tư 60% vốn điều lệ); (vi) Ngân hàng Bảo Việt (Ngân hàng </w:t>
      </w:r>
      <w:r w:rsidR="0030348F">
        <w:rPr>
          <w:rFonts w:eastAsia="Calibri"/>
          <w:sz w:val="28"/>
          <w:szCs w:val="28"/>
        </w:rPr>
        <w:t>thương mại cổ phần</w:t>
      </w:r>
      <w:r w:rsidR="0030348F" w:rsidRPr="00657128">
        <w:rPr>
          <w:rFonts w:eastAsia="Calibri"/>
          <w:sz w:val="28"/>
          <w:szCs w:val="28"/>
        </w:rPr>
        <w:t xml:space="preserve"> </w:t>
      </w:r>
      <w:r w:rsidRPr="00657128">
        <w:rPr>
          <w:rFonts w:eastAsia="Calibri"/>
          <w:sz w:val="28"/>
          <w:szCs w:val="28"/>
        </w:rPr>
        <w:t>Bảo Việt do Tập đoàn Bảo Việt đầu tư 49,5% vốn điều lệ).</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Nếu hiểu theo nghĩa hẹp, Bảo hiểm Bảo Việt là tên gọi tắt của Tổng Công ty Bảo hiểm Bảo Việt từ năm 2007 khi Tổng Công ty Bảo hiểm Việt Nam được đổi tên thành Tổng Công ty Bảo hiểm Bảo Việt (tên giao dịch là Bảo hiểm Bảo Việt), cung cấp dịch vụ bảo hiểm phi nhân thọ.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Tại phiên họp ngày 9-11.12.1963, Hội đồng Chính phủ đã thông qua nguyên tắc thành lập Công ty Bảo hiểm Việt Nam và ngày 17.12.1964, Công ty bảo hiểm Việt Nam được thành lập theo Quyết định 179/CP của Chính phủ (tên giao dịch gọi tắt là Bảo Việt) và trực thuộc Bộ Tài chính. Bảo Việt là một đơn vị kinh doanh có tư cách pháp nhân, hoạt động theo chế độ hạch toán kinh tế, hạch toán thống nhất toàn ngành, với số vốn ban đầu là 10 triệu đồng, tương đương 2,4 triệu USD tại thời điểm đó. </w:t>
      </w:r>
    </w:p>
    <w:p w:rsidR="00B177C5" w:rsidRPr="00657128" w:rsidRDefault="00B177C5" w:rsidP="00657128">
      <w:pPr>
        <w:spacing w:before="120" w:after="120"/>
        <w:ind w:firstLine="720"/>
        <w:jc w:val="both"/>
        <w:rPr>
          <w:rFonts w:eastAsia="Calibri"/>
          <w:sz w:val="28"/>
          <w:szCs w:val="28"/>
        </w:rPr>
      </w:pPr>
      <w:proofErr w:type="gramStart"/>
      <w:r w:rsidRPr="00657128">
        <w:rPr>
          <w:rFonts w:eastAsia="Calibri"/>
          <w:sz w:val="28"/>
          <w:szCs w:val="28"/>
        </w:rPr>
        <w:t>Ngày 15.01.1965, Công ty bảo hiểm Việt Nam chính thức đi vào hoạt động kinh doanh bảo hiểm phi nhân thọ với trụ sở chính tại Hà Nội và một chi nhánh duy nhất tại Hải Phòng.</w:t>
      </w:r>
      <w:proofErr w:type="gramEnd"/>
      <w:r w:rsidRPr="00657128">
        <w:rPr>
          <w:rFonts w:eastAsia="Calibri"/>
          <w:sz w:val="28"/>
          <w:szCs w:val="28"/>
        </w:rPr>
        <w:t xml:space="preserve"> </w:t>
      </w:r>
      <w:proofErr w:type="gramStart"/>
      <w:r w:rsidRPr="00657128">
        <w:rPr>
          <w:rFonts w:eastAsia="Calibri"/>
          <w:sz w:val="28"/>
          <w:szCs w:val="28"/>
        </w:rPr>
        <w:t>Từ năm 1965 đến năm 1975, Công ty bảo hiểm Việt Nam cung cấp sản phẩm bảo hiểm cho một nhóm nhỏ khách hàng là các đơn vị kinh tế Nhà nước kinh doanh trong lĩnh vực xuất nhập khẩu và tàu biển ở miền Bắc.</w:t>
      </w:r>
      <w:proofErr w:type="gramEnd"/>
      <w:r w:rsidRPr="00657128">
        <w:rPr>
          <w:rFonts w:eastAsia="Calibri"/>
          <w:sz w:val="28"/>
          <w:szCs w:val="28"/>
        </w:rPr>
        <w:t xml:space="preserve">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lastRenderedPageBreak/>
        <w:t xml:space="preserve">Trong giai đoạn 1975-1989, Công ty bảo hiểm Việt Nam phát triển trở thành doanh nghiệp bảo hiểm Nhà nước lớn nhất và duy nhất trên toàn lãnh thổ Việt Nam với mạng lưới rộng khắp và các sản phẩm bảo hiểm như bảo hiểm hàng hóa, bảo hiểm tai nạn cá nhân, bảo hiểm tàu sông </w:t>
      </w:r>
      <w:r w:rsidR="0030348F">
        <w:rPr>
          <w:rFonts w:eastAsia="Calibri"/>
          <w:sz w:val="28"/>
          <w:szCs w:val="28"/>
        </w:rPr>
        <w:t>-</w:t>
      </w:r>
      <w:r w:rsidRPr="00657128">
        <w:rPr>
          <w:rFonts w:eastAsia="Calibri"/>
          <w:sz w:val="28"/>
          <w:szCs w:val="28"/>
        </w:rPr>
        <w:t xml:space="preserve"> tàu cá. </w:t>
      </w:r>
      <w:proofErr w:type="gramStart"/>
      <w:r w:rsidRPr="00657128">
        <w:rPr>
          <w:rFonts w:eastAsia="Calibri"/>
          <w:sz w:val="28"/>
          <w:szCs w:val="28"/>
        </w:rPr>
        <w:t xml:space="preserve">Ngày 17.01.1976, Công ty bảo hiểm Việt Nam thành lập Công ty Bảo hiểm </w:t>
      </w:r>
      <w:r w:rsidR="0030348F">
        <w:rPr>
          <w:rFonts w:eastAsia="Calibri"/>
          <w:sz w:val="28"/>
          <w:szCs w:val="28"/>
        </w:rPr>
        <w:t>-</w:t>
      </w:r>
      <w:proofErr w:type="gramEnd"/>
      <w:r w:rsidRPr="00657128">
        <w:rPr>
          <w:rFonts w:eastAsia="Calibri"/>
          <w:sz w:val="28"/>
          <w:szCs w:val="28"/>
        </w:rPr>
        <w:t xml:space="preserve"> Tái Bảo hiểm Việt Nam, gọi tắt là Bavina. Năm 1989 Công ty bảo hiểm Việt Nam được phát triển thành Tổng Công ty Bảo hiểm Việt Nam theo Quyết định số 27-TCQĐ-TCCB ngày 17.02.1989 của Bộ trưởng Bộ Tài chính</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Năm 1992, Công ty bảo hiểm Việt Nam thành lập Công ty Đại lý Môi giới Tái bảo hiểm Bavina, trụ sở tại Luân Đôn, Vương quốc Anh đánh dấu chiến lược mở rộng quan hệ với các Công ty Tái bảo hiểm nước ngoài và thị trường bảo hiểm quốc tế.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Năm 1994, Tổng Công ty Bảo hiểm Việt Nam thành lập Công ty Bảo hiểm Thành phố Hồ Chí Minh. Sau đó vào năm 2004 Công ty Bảo hiểm Thành phố Hồ Chí Minh tách khỏi Tổng Công ty Bảo hiểm Việt Nam để hoạt động độc lập và chuyển đổi thành công ty cổ phẩn với tên giao dịch chính thức là Tổng Công ty Cổ phần Bảo Minh.</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Năm 1996, thực hiện chủ trương mở rộng, cung cấp các sản phẩm và dịch vụ tới các tầng lớp dân cư, Tổng Công ty Bảo hiểm Việt Nam thành lập Công ty Bảo hiểm Nhân thọ đầu tiên trên thị trường bảo hiểm Việt Nam theo Quyết định số 568-TC/QĐ/TCCB ngày 22.6.1996 của Bộ trưởng Bộ Tài chính. Theo đó Tổng công ty Bảo hiểm Việt Nam trở thành công ty bảo hiểm hỗn hợp đầu tiên tại Việt Nam cung cấp cả sản phẩm bảo hiểm nhân thọ và phi nhân thọ. Tháng 8.1996, Công ty Bảo hiểm Nhân thọ đã đưa ra những sản phẩm bảo hiểm nhân thọ đầu tiên ra thị trường, đánh dấu sự khởi đầu cho chặng đường phát triển của bảo hiểm nhân thọ tại Việt Nam.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Năm 1999, Tổng công ty Bảo hiểm Việt Nam thành lập Công ty Cổ phần Chứng khoán Bảo Việt (BVSC) với vốn điều lệ là 43 tỷ đồng. Năm 2003, Công ty Bảo hiểm Nhân thọ (Bảo Việt Nhân thọ) thực hiện hạch toán độc lập. Từ khi thành lập Bảo Việt Nhân thọ luôn là doanh nghiệp bảo hiểm nhân thọ có thị phần doanh thu phí đứng vị trí thứ nhất thị trường bảo hiểm nhân thọ Việt Nam.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Năm 2004, Tổng công ty Bảo hiểm Việt Nam thực hiện hạch toán độc lập. Năm 2005, Tổng công ty Bảo hiểm Việt Nam thành lập Công ty </w:t>
      </w:r>
      <w:r w:rsidR="0030348F">
        <w:rPr>
          <w:rFonts w:eastAsia="Calibri"/>
          <w:sz w:val="28"/>
          <w:szCs w:val="28"/>
        </w:rPr>
        <w:t>trách nhiệm hữu hạn</w:t>
      </w:r>
      <w:r w:rsidRPr="00657128">
        <w:rPr>
          <w:rFonts w:eastAsia="Calibri"/>
          <w:sz w:val="28"/>
          <w:szCs w:val="28"/>
        </w:rPr>
        <w:t xml:space="preserve"> Quản lý quỹ Bảo Việt (Baoviet Fund) với vốn điều lệ ban đầu là 25 tỷ đồng và gồm 17 nhân sự.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Năm 2005, Thủ tướng Chính phủ ban hành Quyết định 310/2005/QĐ-TTg ngày 28.11.2005 về việc phê duyệt đề án cổ phần hóa Tổng công ty Bảo hiểm Việt Nam và thí điểm thành lập Tập đoàn Tài chính – Bảo hiểm Bảo Việt. Theo đó (i) </w:t>
      </w:r>
      <w:r w:rsidRPr="00657128">
        <w:rPr>
          <w:rFonts w:eastAsia="Calibri"/>
          <w:sz w:val="28"/>
          <w:szCs w:val="28"/>
        </w:rPr>
        <w:lastRenderedPageBreak/>
        <w:t>Thủ tướng phê duyệt cổ phần hóa Tổng công ty Bảo hiểm Việt Nam theo hình thức phát hành cổ phiếu ra công chúng thông qua đấu giá để thu hút vốn của các nhà đầu tư trong và ngoài nước, trong đó Nhà nước giữ tối thiểu 51% vốn điều lệ, các nhà đầu tư nước ngoài sở hữu không quá 30% vốn điều lệ; (ii) Thí điểm thành lập Tập đoàn Tài chính – Bảo hiểm Bảo Việt có ngành nghề chính là kinh doanh bảo hiểm, tổ chức theo mô hình công ty mẹ - công ty con.</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Ngày 31.5.2007 đánh dấu mốc lịch sử quan trọng của Tập đoàn Bảo Việt, đó là việc Tổng công ty Bảo hiểm Việt Nam bán cổ phần lần đầu ra công chúng chính thức trở thành công ty cổ phần kinh doanh đa ngành, đa lĩnh vực. Ngày 15.10.2007, Tổng công ty Bảo hiểm Việt Nam đã hoàn thành Đăng ký kinh doanh công ty cổ phần. Theo đó ngày 23.01.2008 Tập đoàn Tài chính – Bảo hiểm Bảo Việt chính thức được ra mắt với cổ đông chiến lược nước ngoài duy nhất là Tập đoàn Bảo hiểm HSBC châu Á – Thái Bình Dương (HSBC Insurance Asia Pacific Holdings Ltd) nắm giữ 10% cổ phần và cổ đông trong nước là Tập đoàn Công nghiệp Tàu thuỷ Việt Nam (Vinashin) nắm giữ 3,56% cổ phần của Tập đoàn Bảo Việt.</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Năm 2008, Tập đoàn Tài chính – Bảo hiểm Bảo Việt thành lập Ngân hàng TMCP Bảo Việt (Bảo Việt Bank) trong chiến lược hoàn thiện mô hình tập đoàn tài chính đa ngành cùng với xu thế chung của các tập đoàn tài chính lớn trên thế giới với vốn điều lệ là 1.500 tỷ đồng, trong đó tỷ lệ vốn góp của Tập đoàn Bảo Việt là 52%.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Ngày 09.01.2009, Tập đoàn Tài chính – Bảo hiểm Bảo Việt thành lập Công ty Cổ phần Đầu tư Bảo Việt với vốn điều lệ 100 tỷ đồng, tỷ lệ vốn góp của Tập đoàn Bảo Việt là 100%. Công ty Cổ phần Đầu tư Bảo Việt là tiền thân của Công ty </w:t>
      </w:r>
      <w:r w:rsidR="0030348F">
        <w:rPr>
          <w:rFonts w:eastAsia="Calibri"/>
          <w:sz w:val="28"/>
          <w:szCs w:val="28"/>
        </w:rPr>
        <w:t>trách nhiệm hữu hạn</w:t>
      </w:r>
      <w:r w:rsidRPr="00657128">
        <w:rPr>
          <w:rFonts w:eastAsia="Calibri"/>
          <w:sz w:val="28"/>
          <w:szCs w:val="28"/>
        </w:rPr>
        <w:t xml:space="preserve"> </w:t>
      </w:r>
      <w:r w:rsidR="0030348F">
        <w:rPr>
          <w:rFonts w:eastAsia="Calibri"/>
          <w:sz w:val="28"/>
          <w:szCs w:val="28"/>
        </w:rPr>
        <w:t>một thành viên</w:t>
      </w:r>
      <w:r w:rsidR="0030348F" w:rsidRPr="00657128">
        <w:rPr>
          <w:rFonts w:eastAsia="Calibri"/>
          <w:sz w:val="28"/>
          <w:szCs w:val="28"/>
        </w:rPr>
        <w:t xml:space="preserve"> </w:t>
      </w:r>
      <w:r w:rsidRPr="00657128">
        <w:rPr>
          <w:rFonts w:eastAsia="Calibri"/>
          <w:sz w:val="28"/>
          <w:szCs w:val="28"/>
        </w:rPr>
        <w:t>Đầu tư Bảo Việt (BVInvest). BVInvest</w:t>
      </w:r>
      <w:r w:rsidRPr="00657128">
        <w:rPr>
          <w:sz w:val="28"/>
          <w:szCs w:val="28"/>
        </w:rPr>
        <w:t> </w:t>
      </w:r>
      <w:r w:rsidRPr="00657128">
        <w:rPr>
          <w:rFonts w:eastAsia="Calibri"/>
          <w:sz w:val="28"/>
          <w:szCs w:val="28"/>
        </w:rPr>
        <w:t xml:space="preserve">thực hiện đầu tư, kinh doanh các dự án bất động sản để hình thành nguồn tài sản bán, khai thác cho thuê; thi công xây lắp, cải tạo sửa chữa tòa nhà trụ sở làm việc của Tập đoàn Bảo Việt và các đơn vị thành viên trong phạm vi toàn quốc. Đến cuối năm 2020 vốn điều lệ của BVInvest là 200 tỷ đồng, tỷ lệ vốn góp của Tập đoàn Bảo Việt tại BVInvest là 100%.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 xml:space="preserve">Ngày 16.6.2009, Cổ phiếu của Tập đoàn Bảo Việt (mã chứng khoán BVH) chính thức được niêm yết trên Sở Giao dịch chứng khoán thành phố Hồ Chí Minh. Ngay sau đó, Tập đoàn Bảo hiểm HSBC châu Á – Thái Bình Dương nâng tỷ lệ sở hữu tại Tập đoàn Bảo Việt lên 18%. Tháng 10.2009, Vinashin chuyển giao phần vốn góp tại Tập đoàn Bảo Việt (hơn 20 triệu cổ phần) cho Tổng Công ty Đầu tư và kinh doanh vốn nhà nước (SCIC).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lastRenderedPageBreak/>
        <w:t xml:space="preserve">Năm 2012, Công ty bảo hiểm nhân thọ Sumitomo Life, Nhật Bản đã mua lại toàn bộ phần vốn góp của HSBC (18%) tại Tập đoàn Bảo Việt và trở thành cổ đông chiến lược của Tập đoàn Bảo Việt thay thế HSBC. </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Năm 2013, Bảo hiểm Bảo Việt tăng vốn điều lệ từ 1.800 tỷ đồng lên 2.000 tỷ đồng, trở thành doanh nghiệp đứng đầu về quy mô vốn điều lệ trong lĩnh vực Bảo hiểm Phi Nhân thọ tại Việt Nam. </w:t>
      </w:r>
    </w:p>
    <w:p w:rsidR="00B177C5" w:rsidRPr="00657128" w:rsidRDefault="00B177C5" w:rsidP="00657128">
      <w:pPr>
        <w:spacing w:before="120" w:after="120"/>
        <w:ind w:firstLine="720"/>
        <w:jc w:val="both"/>
        <w:rPr>
          <w:rFonts w:eastAsia="Calibri"/>
          <w:sz w:val="28"/>
          <w:szCs w:val="28"/>
        </w:rPr>
      </w:pPr>
      <w:r w:rsidRPr="00657128">
        <w:rPr>
          <w:sz w:val="28"/>
          <w:szCs w:val="28"/>
          <w:shd w:val="clear" w:color="auto" w:fill="FFFFFF"/>
        </w:rPr>
        <w:t>Năm 2020, Bảo hiểm Bảo Việt được ghi nhận là Thương hiệu Bảo hiểm được tín nhiệm nhất Châu Á (Global Brand Magazine), mang lại sự hài lòng và hạnh phúc cho khách hàng.</w:t>
      </w:r>
    </w:p>
    <w:p w:rsidR="00B177C5" w:rsidRPr="00657128" w:rsidRDefault="00B177C5" w:rsidP="00657128">
      <w:pPr>
        <w:spacing w:before="120" w:after="120"/>
        <w:ind w:firstLine="720"/>
        <w:jc w:val="both"/>
        <w:rPr>
          <w:rFonts w:eastAsia="Calibri"/>
          <w:sz w:val="28"/>
          <w:szCs w:val="28"/>
        </w:rPr>
      </w:pPr>
      <w:r w:rsidRPr="00657128">
        <w:rPr>
          <w:rFonts w:eastAsia="Calibri"/>
          <w:sz w:val="28"/>
          <w:szCs w:val="28"/>
        </w:rPr>
        <w:t>Đến cuối năm 2022, Bảo hiểm Bảo Việt có 67 công ty thành viên và hơn 300 phòng kinh doanh phục vụ khách hàng trên toàn quốc; tổng tài sản hợp nhất đạt 201.610 tỷ đồng, tổng doanh thu hợp nhất đạt 54.459 tỷ đồng. Bảo hiểm Bảo Việt cũng ra mắt nhiều sản phẩm bảo hiểm dành cho khách hàng cá nhân mới lần đầu tiên có mặt tại thị trường Việt Nam (Bảo Việt Tâm An, Bảo hiểm du lịch quốc tế, Bảo hiểm Tai nạn toàn diện và Chăm sóc Y tế, Bảo hiểm nhà tư nhân, Bảo hiểm xe máy, v.v) và sản phẩm bảo hiểm dành cho khách hàng doanh nghiệp như bảo hiểm hàng hóa, bảo hiểm vệ tinh, bảo hiểm dầu khí, bảo hiểm hàng không, bảo hiểm tài sản, bảo hiểm kỹ thuật, bảo hiểm rủi ro hỗn hợp, v.v.</w:t>
      </w:r>
    </w:p>
    <w:bookmarkEnd w:id="2"/>
    <w:p w:rsidR="00B177C5" w:rsidRPr="00657128" w:rsidRDefault="00B177C5" w:rsidP="00657128">
      <w:pPr>
        <w:spacing w:before="120" w:after="120"/>
        <w:ind w:firstLine="720"/>
        <w:jc w:val="right"/>
        <w:rPr>
          <w:b/>
          <w:bCs/>
        </w:rPr>
      </w:pPr>
      <w:r w:rsidRPr="00657128">
        <w:rPr>
          <w:b/>
          <w:bCs/>
          <w:noProof/>
        </w:rPr>
        <w:t>VŨ NHỮ THĂNG</w:t>
      </w:r>
    </w:p>
    <w:p w:rsidR="00B177C5" w:rsidRPr="00024F1E" w:rsidRDefault="00B177C5" w:rsidP="00B177C5">
      <w:pPr>
        <w:spacing w:before="60" w:after="60"/>
        <w:jc w:val="both"/>
        <w:rPr>
          <w:b/>
          <w:bCs/>
        </w:rPr>
      </w:pPr>
      <w:r w:rsidRPr="00024F1E">
        <w:rPr>
          <w:b/>
          <w:bCs/>
        </w:rPr>
        <w:t>Tài liệu tham khảo:</w:t>
      </w:r>
    </w:p>
    <w:p w:rsidR="00B177C5" w:rsidRDefault="00B177C5" w:rsidP="00657128">
      <w:pPr>
        <w:pStyle w:val="ListParagraph"/>
        <w:numPr>
          <w:ilvl w:val="0"/>
          <w:numId w:val="3"/>
        </w:numPr>
        <w:spacing w:before="60" w:after="60"/>
        <w:jc w:val="both"/>
      </w:pPr>
      <w:r w:rsidRPr="00024F1E">
        <w:t xml:space="preserve">Bộ Tài chính, </w:t>
      </w:r>
      <w:r w:rsidRPr="00657128">
        <w:rPr>
          <w:i/>
        </w:rPr>
        <w:t>Thị trường bảo hiểm Việt Nam</w:t>
      </w:r>
      <w:r w:rsidRPr="00024F1E">
        <w:t>, (2004 – nay).</w:t>
      </w:r>
    </w:p>
    <w:p w:rsidR="00FA015D" w:rsidRPr="00024F1E" w:rsidRDefault="00B177C5" w:rsidP="00657128">
      <w:pPr>
        <w:pStyle w:val="ListParagraph"/>
        <w:numPr>
          <w:ilvl w:val="0"/>
          <w:numId w:val="3"/>
        </w:numPr>
        <w:spacing w:before="60" w:after="60"/>
        <w:jc w:val="both"/>
      </w:pPr>
      <w:r w:rsidRPr="00024F1E">
        <w:t>Bảo Việt 40 năm xây dựng và phát triển, Nhà xuất bản văn hóa thông tin, 2005.</w:t>
      </w:r>
    </w:p>
    <w:p w:rsidR="009B39A0" w:rsidRDefault="00B177C5" w:rsidP="00657128">
      <w:pPr>
        <w:pStyle w:val="ListParagraph"/>
        <w:numPr>
          <w:ilvl w:val="0"/>
          <w:numId w:val="3"/>
        </w:numPr>
        <w:spacing w:before="60" w:after="60"/>
        <w:jc w:val="both"/>
      </w:pPr>
      <w:r w:rsidRPr="00024F1E">
        <w:t xml:space="preserve">Tập đoàn Bảo Việt, </w:t>
      </w:r>
      <w:r w:rsidRPr="00657128">
        <w:rPr>
          <w:i/>
          <w:iCs/>
        </w:rPr>
        <w:t>50 năm Bảo Việt, nửa thế kỷ vì những niềm tin của bạn</w:t>
      </w:r>
      <w:r w:rsidRPr="00024F1E">
        <w:t xml:space="preserve">, Nhà xuất bản Thế giới, 2015. </w:t>
      </w:r>
    </w:p>
    <w:sectPr w:rsidR="009B39A0" w:rsidSect="005C327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728F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745AD"/>
    <w:multiLevelType w:val="multilevel"/>
    <w:tmpl w:val="51C8E59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766B40D5"/>
    <w:multiLevelType w:val="multilevel"/>
    <w:tmpl w:val="51C8E59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7C162EC4"/>
    <w:multiLevelType w:val="hybridMultilevel"/>
    <w:tmpl w:val="AEB2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AC"/>
    <w:rsid w:val="00185AD5"/>
    <w:rsid w:val="0030348F"/>
    <w:rsid w:val="005A6FCA"/>
    <w:rsid w:val="005C327B"/>
    <w:rsid w:val="00657128"/>
    <w:rsid w:val="0069665F"/>
    <w:rsid w:val="006A09AC"/>
    <w:rsid w:val="00932724"/>
    <w:rsid w:val="009B39A0"/>
    <w:rsid w:val="00B177C5"/>
    <w:rsid w:val="00E81DFE"/>
    <w:rsid w:val="00FA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C5"/>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B177C5"/>
    <w:pPr>
      <w:keepNext/>
      <w:keepLines/>
      <w:spacing w:before="480"/>
      <w:jc w:val="both"/>
      <w:outlineLvl w:val="0"/>
    </w:pPr>
    <w:rPr>
      <w:rFonts w:asciiTheme="majorHAnsi" w:eastAsiaTheme="majorEastAsia" w:hAnsiTheme="majorHAnsi" w:cstheme="majorBidi"/>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7C5"/>
    <w:rPr>
      <w:rFonts w:asciiTheme="majorHAnsi" w:eastAsiaTheme="majorEastAsia" w:hAnsiTheme="majorHAnsi" w:cstheme="majorBidi"/>
      <w:bCs/>
      <w:color w:val="000000" w:themeColor="text1"/>
      <w:kern w:val="0"/>
      <w:sz w:val="28"/>
      <w:szCs w:val="28"/>
    </w:rPr>
  </w:style>
  <w:style w:type="character" w:styleId="CommentReference">
    <w:name w:val="annotation reference"/>
    <w:unhideWhenUsed/>
    <w:rsid w:val="00B177C5"/>
    <w:rPr>
      <w:sz w:val="16"/>
      <w:szCs w:val="16"/>
    </w:rPr>
  </w:style>
  <w:style w:type="paragraph" w:styleId="CommentText">
    <w:name w:val="annotation text"/>
    <w:basedOn w:val="Normal"/>
    <w:link w:val="CommentTextChar"/>
    <w:uiPriority w:val="99"/>
    <w:unhideWhenUsed/>
    <w:rsid w:val="00B177C5"/>
    <w:pPr>
      <w:spacing w:after="200" w:line="276" w:lineRule="auto"/>
    </w:pPr>
    <w:rPr>
      <w:rFonts w:ascii="Arial" w:eastAsia="Arial" w:hAnsi="Arial"/>
      <w:sz w:val="20"/>
      <w:szCs w:val="20"/>
      <w:lang w:val="vi-VN"/>
    </w:rPr>
  </w:style>
  <w:style w:type="character" w:customStyle="1" w:styleId="CommentTextChar">
    <w:name w:val="Comment Text Char"/>
    <w:basedOn w:val="DefaultParagraphFont"/>
    <w:link w:val="CommentText"/>
    <w:uiPriority w:val="99"/>
    <w:rsid w:val="00B177C5"/>
    <w:rPr>
      <w:rFonts w:ascii="Arial" w:eastAsia="Arial" w:hAnsi="Arial" w:cs="Times New Roman"/>
      <w:kern w:val="0"/>
      <w:sz w:val="20"/>
      <w:szCs w:val="20"/>
      <w:lang w:val="vi-VN"/>
    </w:rPr>
  </w:style>
  <w:style w:type="paragraph" w:styleId="BalloonText">
    <w:name w:val="Balloon Text"/>
    <w:basedOn w:val="Normal"/>
    <w:link w:val="BalloonTextChar"/>
    <w:uiPriority w:val="99"/>
    <w:semiHidden/>
    <w:unhideWhenUsed/>
    <w:rsid w:val="00B17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C5"/>
    <w:rPr>
      <w:rFonts w:ascii="Segoe UI" w:eastAsia="Times New Roman" w:hAnsi="Segoe UI" w:cs="Segoe UI"/>
      <w:kern w:val="0"/>
      <w:sz w:val="18"/>
      <w:szCs w:val="18"/>
    </w:rPr>
  </w:style>
  <w:style w:type="paragraph" w:styleId="ListParagraph">
    <w:name w:val="List Paragraph"/>
    <w:basedOn w:val="Normal"/>
    <w:uiPriority w:val="34"/>
    <w:qFormat/>
    <w:rsid w:val="00FA0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C5"/>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B177C5"/>
    <w:pPr>
      <w:keepNext/>
      <w:keepLines/>
      <w:spacing w:before="480"/>
      <w:jc w:val="both"/>
      <w:outlineLvl w:val="0"/>
    </w:pPr>
    <w:rPr>
      <w:rFonts w:asciiTheme="majorHAnsi" w:eastAsiaTheme="majorEastAsia" w:hAnsiTheme="majorHAnsi" w:cstheme="majorBidi"/>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7C5"/>
    <w:rPr>
      <w:rFonts w:asciiTheme="majorHAnsi" w:eastAsiaTheme="majorEastAsia" w:hAnsiTheme="majorHAnsi" w:cstheme="majorBidi"/>
      <w:bCs/>
      <w:color w:val="000000" w:themeColor="text1"/>
      <w:kern w:val="0"/>
      <w:sz w:val="28"/>
      <w:szCs w:val="28"/>
    </w:rPr>
  </w:style>
  <w:style w:type="character" w:styleId="CommentReference">
    <w:name w:val="annotation reference"/>
    <w:unhideWhenUsed/>
    <w:rsid w:val="00B177C5"/>
    <w:rPr>
      <w:sz w:val="16"/>
      <w:szCs w:val="16"/>
    </w:rPr>
  </w:style>
  <w:style w:type="paragraph" w:styleId="CommentText">
    <w:name w:val="annotation text"/>
    <w:basedOn w:val="Normal"/>
    <w:link w:val="CommentTextChar"/>
    <w:uiPriority w:val="99"/>
    <w:unhideWhenUsed/>
    <w:rsid w:val="00B177C5"/>
    <w:pPr>
      <w:spacing w:after="200" w:line="276" w:lineRule="auto"/>
    </w:pPr>
    <w:rPr>
      <w:rFonts w:ascii="Arial" w:eastAsia="Arial" w:hAnsi="Arial"/>
      <w:sz w:val="20"/>
      <w:szCs w:val="20"/>
      <w:lang w:val="vi-VN"/>
    </w:rPr>
  </w:style>
  <w:style w:type="character" w:customStyle="1" w:styleId="CommentTextChar">
    <w:name w:val="Comment Text Char"/>
    <w:basedOn w:val="DefaultParagraphFont"/>
    <w:link w:val="CommentText"/>
    <w:uiPriority w:val="99"/>
    <w:rsid w:val="00B177C5"/>
    <w:rPr>
      <w:rFonts w:ascii="Arial" w:eastAsia="Arial" w:hAnsi="Arial" w:cs="Times New Roman"/>
      <w:kern w:val="0"/>
      <w:sz w:val="20"/>
      <w:szCs w:val="20"/>
      <w:lang w:val="vi-VN"/>
    </w:rPr>
  </w:style>
  <w:style w:type="paragraph" w:styleId="BalloonText">
    <w:name w:val="Balloon Text"/>
    <w:basedOn w:val="Normal"/>
    <w:link w:val="BalloonTextChar"/>
    <w:uiPriority w:val="99"/>
    <w:semiHidden/>
    <w:unhideWhenUsed/>
    <w:rsid w:val="00B17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C5"/>
    <w:rPr>
      <w:rFonts w:ascii="Segoe UI" w:eastAsia="Times New Roman" w:hAnsi="Segoe UI" w:cs="Segoe UI"/>
      <w:kern w:val="0"/>
      <w:sz w:val="18"/>
      <w:szCs w:val="18"/>
    </w:rPr>
  </w:style>
  <w:style w:type="paragraph" w:styleId="ListParagraph">
    <w:name w:val="List Paragraph"/>
    <w:basedOn w:val="Normal"/>
    <w:uiPriority w:val="34"/>
    <w:qFormat/>
    <w:rsid w:val="00FA0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Pham Thanh Thuy</cp:lastModifiedBy>
  <cp:revision>2</cp:revision>
  <dcterms:created xsi:type="dcterms:W3CDTF">2024-05-27T09:42:00Z</dcterms:created>
  <dcterms:modified xsi:type="dcterms:W3CDTF">2024-05-27T09:42:00Z</dcterms:modified>
</cp:coreProperties>
</file>